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D289" w14:textId="77777777" w:rsidR="00F92F62" w:rsidRDefault="00F92F62" w:rsidP="00F92F62">
      <w:pPr>
        <w:pStyle w:val="Standard"/>
        <w:ind w:firstLine="709"/>
        <w:jc w:val="both"/>
        <w:rPr>
          <w:rFonts w:cs="Times New Roman"/>
          <w:b/>
          <w:color w:val="333333"/>
        </w:rPr>
      </w:pPr>
      <w:bookmarkStart w:id="0" w:name="_Hlk139018636"/>
      <w:r>
        <w:rPr>
          <w:rFonts w:cs="Times New Roman"/>
          <w:b/>
          <w:color w:val="333333"/>
        </w:rPr>
        <w:t>О некоторых особенностях трудовых правоотношений с людьми с ограниченными возможностями здоровья</w:t>
      </w:r>
    </w:p>
    <w:bookmarkEnd w:id="0"/>
    <w:p w14:paraId="7AC1D0C5"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Вопрос: Правомерен ли отказ в трудоустройстве по причине инвалидности?</w:t>
      </w:r>
    </w:p>
    <w:p w14:paraId="78731145"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Ответ: Работодатель не может отказать вам в устройстве только по признаку инвалидности. В соответствии со ст. 3.1 Федерального закона от 24.11.1995 № 181-ФЗ «О социальной защите инвалидов в Российской Федерации» запрещается дискриминация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 Отказ работодателя при приеме на работу инвалида в пределах установленной квоты влечет административную ответственность по    ч. 1 ст. 5.42 Кодекса Российской Федерации об административных правонарушениях.</w:t>
      </w:r>
    </w:p>
    <w:p w14:paraId="716A8012"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Вопрос: Работодатель при устройстве инвалида на работу требует документы, подтверждающие инвалидность, насколько это правомерно?</w:t>
      </w:r>
    </w:p>
    <w:p w14:paraId="1DC0240F"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Ответ: При устройстве инвалида на работу на общих основаниях (не в счет квоты) работодатель не вправе требовать от него документы, не предусмотренные Трудовым кодексом Российской Федерации (в частности, документы, подтверждающие его инвалидность).</w:t>
      </w:r>
    </w:p>
    <w:p w14:paraId="6F340E1E"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Вопрос: Обязан ли работодатель обустроить трудовое место инвалиду?</w:t>
      </w:r>
    </w:p>
    <w:p w14:paraId="3B0E775B"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Ответ: Согласно ст. 22 Федерального закона от 24.11.1995 № 181-ФЗ «О социальной защите инвалидов в Российской Федерации»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3505AB9C"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Вопрос: Может ли работодатель привлекать инвалидов к сверхурочным работам, работе в выходные дни и ночное время?</w:t>
      </w:r>
    </w:p>
    <w:p w14:paraId="35955970"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Ответ: Привлечение к сверхурочной работе инвалидов допускается только с их письменного согласия и при условии, если это не запрещено им по состоянию здоровья. Работодатели должны ознакомить инвалидов под роспись со своим правом отказаться от сверхурочной работы.</w:t>
      </w:r>
    </w:p>
    <w:p w14:paraId="3D94E864"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Вопрос: Что делать если инвалидность получена уже во время работы в организации?</w:t>
      </w:r>
    </w:p>
    <w:p w14:paraId="14A421D7"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Ответ: Если сотрудник получил инвалидность, осуществляя трудовую деятельность в организации, для получения льгот работнику необходимо представить работодателю документы, подтверждающие статус инвалида. После чего условия трудового договора будут пересмотрены и переоформлены.</w:t>
      </w:r>
    </w:p>
    <w:p w14:paraId="77B302F4"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 </w:t>
      </w:r>
    </w:p>
    <w:p w14:paraId="29854048" w14:textId="77777777" w:rsidR="00F92F62" w:rsidRDefault="00F92F62" w:rsidP="00F92F62">
      <w:pPr>
        <w:pStyle w:val="Standard"/>
        <w:ind w:firstLine="709"/>
        <w:jc w:val="both"/>
        <w:rPr>
          <w:rFonts w:cs="Times New Roman"/>
          <w:b/>
          <w:color w:val="333333"/>
        </w:rPr>
      </w:pPr>
      <w:bookmarkStart w:id="1" w:name="_Hlk139018646"/>
      <w:r>
        <w:rPr>
          <w:rFonts w:cs="Times New Roman"/>
          <w:b/>
          <w:color w:val="333333"/>
        </w:rPr>
        <w:t>Гражданский иск в уголовном процессе</w:t>
      </w:r>
    </w:p>
    <w:bookmarkEnd w:id="1"/>
    <w:p w14:paraId="77FFC486"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По общему правилу в соответствии с требованиями ч. 1 ст. 1064 Гражданского кодекса Российской Федерации вред, причиненный личности или имуществу гражданина, а также имуществу юридического лица подлежит возмещению в полном объеме лицом, причинившим вред.</w:t>
      </w:r>
    </w:p>
    <w:p w14:paraId="2A2335A1"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Понятие вреда в гражданском  законодательстве включает в себя: материальный ущерб, который выражается в уменьшении имущества,  его уничтожении или утрате, и моральный вред, который выражается в умалении нематериального блага - жизни, здоровья человека и т.д., то есть иными словами физические и нравственные страдания, причиненные в результате виновных действий (вред здоровью гражданина, смертью близкого лица и др.). </w:t>
      </w:r>
    </w:p>
    <w:p w14:paraId="23CD1929" w14:textId="77777777" w:rsidR="00F92F62" w:rsidRDefault="00F92F62" w:rsidP="00F92F62">
      <w:pPr>
        <w:pStyle w:val="Textbody"/>
        <w:widowControl/>
        <w:spacing w:after="0"/>
        <w:ind w:firstLine="709"/>
        <w:jc w:val="both"/>
        <w:rPr>
          <w:rFonts w:cs="Times New Roman"/>
          <w:color w:val="000000"/>
        </w:rPr>
      </w:pPr>
      <w:r>
        <w:rPr>
          <w:rFonts w:cs="Times New Roman"/>
          <w:color w:val="000000"/>
        </w:rPr>
        <w:lastRenderedPageBreak/>
        <w:t>Очень часто вред причиняется непосредственно преступлением. Лицо, которому преступлением причинен материальный ущерб или моральный вред вправе предъявить гражданский иск к виновному в причинении вреда в рамках уголовного дела. </w:t>
      </w:r>
    </w:p>
    <w:p w14:paraId="0E4B122A"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 соответствии с требованиями ч. 3 ст. 44 Уголовно-процессуального кодекса Российской Федерации (далее – УПК РФ) гражданский иск может быть предъявлен к виновному после возбуждения дела до окончания судебного следствия, то есть на стадии предварительного следствия, а также при рассмотрении уголовного дела в суде первой инстанции на стадии судебного следствия.  </w:t>
      </w:r>
    </w:p>
    <w:p w14:paraId="710487AF"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Гражданский иск в рамках уголовного дела предъявляется к лицу, причинившему вред, то есть к обвиняемому или подсудимому. При предъявлении иска в процессе рассмотрения дела суд выносит постановление о признании потерпевшего гражданским истцом, а подсудимого, виновного в причинении материального ущерба или морального вреда, - ответчиком. Если вред причинен действиями нескольких лиц, то исковые требования предъявляются ко всем виновным лицам.</w:t>
      </w:r>
    </w:p>
    <w:p w14:paraId="55D627C7"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Однако имеется исключение из данного правила. Если вред причинен несовершеннолетним подсудимым, то иск не обязательно предъявляется только к причинителю вреда, он может быть предъявлен к его законным представителям. Несовершеннолетние в возрасте от 14 до 18 лет за вред, причиненный их действиями, несут ответственность на общих основаниях. </w:t>
      </w:r>
    </w:p>
    <w:p w14:paraId="13C0EA04"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его родители, усыновители и попечители, если не докажут, что вред возник не по их вине.</w:t>
      </w:r>
    </w:p>
    <w:p w14:paraId="6ADE646E"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Гражданским истцом в уголовном процессе может быть как гражданин, так и юридическое лицо, которым причинен вред преступлением. Истец  вправе: поддерживать свой иск, предъявлять доказательства в подтверждение исковых требований, давать  объяснения по иску, заявлять ходатайства, отводы, отказаться от иска, изменить исковые требования, участвовать в судебном разбирательстве, выступать в прениях для обоснования своего иска, знакомиться с протоколом судебного заседания,  обжаловать приговор  в части, касающейся гражданского иска и другие (ст. 44 УПК РФ).  </w:t>
      </w:r>
    </w:p>
    <w:p w14:paraId="70BFCD03"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Размер исковых требований определяется истцом самостоятельно с учетом причиненного ущерба. В гражданском иске могут одновременно содержаться требования как о возмещении материального ущерба, так и компенсации морального вреда, если преступлением причинены оба вида вреда.  </w:t>
      </w:r>
    </w:p>
    <w:p w14:paraId="0928F271"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При возмещении материального ущерба, размер иска зависит от размера имущественного вреда. Он устанавливается заключением эксперта и документами о стоимости утраченного или поврежденного имущества.  </w:t>
      </w:r>
    </w:p>
    <w:p w14:paraId="02E98064"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Размер компенсации морального вреда определяется истцом самостоятельно в зависимости от характера причиненных потерпевшему физических и нравственных страданий, а также степени вины причинителя вреда. Компенсация морального вреда осуществляется в денежной форме. </w:t>
      </w:r>
    </w:p>
    <w:p w14:paraId="52EF3DAA"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Иск, предъявленный в рамках уголовного дела, разрешается при вынесении обвинительного приговора. Принимая решение по гражданскому иску, суд руководствуется требованиями гражданского законодательства.</w:t>
      </w:r>
    </w:p>
    <w:p w14:paraId="3F1D8B96" w14:textId="77777777" w:rsidR="00F92F62" w:rsidRDefault="00F92F62" w:rsidP="00F92F62">
      <w:pPr>
        <w:pStyle w:val="Standard"/>
        <w:ind w:firstLine="709"/>
        <w:jc w:val="both"/>
        <w:rPr>
          <w:rFonts w:cs="Times New Roman"/>
          <w:b/>
          <w:color w:val="333333"/>
        </w:rPr>
      </w:pPr>
    </w:p>
    <w:p w14:paraId="6B80C864" w14:textId="77777777" w:rsidR="00F92F62" w:rsidRDefault="00F92F62" w:rsidP="00F92F62">
      <w:pPr>
        <w:pStyle w:val="Standard"/>
        <w:ind w:firstLine="709"/>
        <w:jc w:val="both"/>
        <w:rPr>
          <w:rFonts w:cs="Times New Roman"/>
          <w:b/>
          <w:color w:val="333333"/>
        </w:rPr>
      </w:pPr>
    </w:p>
    <w:p w14:paraId="4694886F" w14:textId="77777777" w:rsidR="00F92F62" w:rsidRDefault="00F92F62" w:rsidP="00F92F62">
      <w:pPr>
        <w:pStyle w:val="Standard"/>
        <w:ind w:firstLine="709"/>
        <w:jc w:val="both"/>
        <w:rPr>
          <w:rFonts w:cs="Times New Roman"/>
          <w:b/>
          <w:color w:val="333333"/>
        </w:rPr>
      </w:pPr>
    </w:p>
    <w:p w14:paraId="4B42D793" w14:textId="77777777" w:rsidR="00F92F62" w:rsidRDefault="00F92F62" w:rsidP="00F92F62">
      <w:pPr>
        <w:pStyle w:val="Standard"/>
        <w:ind w:firstLine="709"/>
        <w:jc w:val="both"/>
        <w:rPr>
          <w:rFonts w:cs="Times New Roman"/>
          <w:b/>
          <w:color w:val="333333"/>
        </w:rPr>
      </w:pPr>
      <w:bookmarkStart w:id="2" w:name="_Hlk139018659"/>
      <w:r>
        <w:rPr>
          <w:rFonts w:cs="Times New Roman"/>
          <w:b/>
          <w:color w:val="333333"/>
        </w:rPr>
        <w:t>Преимущественное право оставления на работе при решении вопроса об увольнении работника в связи с сокращением численности или штата сотрудников</w:t>
      </w:r>
    </w:p>
    <w:bookmarkEnd w:id="2"/>
    <w:p w14:paraId="5E5506A8"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Трудовые права граждан регулируются ст. 37 Конституции Российской Федерации, Трудовым кодексом Российской Федерации (далее – ТК РФ) и другими нормами трудового законодательства.</w:t>
      </w:r>
    </w:p>
    <w:p w14:paraId="7EED3637" w14:textId="77777777" w:rsidR="00F92F62" w:rsidRDefault="00F92F62" w:rsidP="00F92F62">
      <w:pPr>
        <w:pStyle w:val="Textbody"/>
        <w:widowControl/>
        <w:spacing w:after="0"/>
        <w:ind w:firstLine="709"/>
        <w:jc w:val="both"/>
        <w:rPr>
          <w:rFonts w:cs="Times New Roman"/>
          <w:color w:val="000000"/>
        </w:rPr>
      </w:pPr>
      <w:r>
        <w:rPr>
          <w:rFonts w:cs="Times New Roman"/>
          <w:color w:val="000000"/>
        </w:rPr>
        <w:lastRenderedPageBreak/>
        <w:t>Граждане имеют право свободно распоряжаться своими способностями к труду, выбирать род деятельности и профессию, осуществлять трудовую деятельность в условиях, отвечающих требованиям безопасности, право на вознаграждение за труд, на отдых.</w:t>
      </w:r>
    </w:p>
    <w:p w14:paraId="6D45DE5A" w14:textId="77777777" w:rsidR="00F92F62" w:rsidRDefault="00F92F62" w:rsidP="00F92F62">
      <w:pPr>
        <w:pStyle w:val="Textbody"/>
        <w:widowControl/>
        <w:spacing w:after="0"/>
        <w:ind w:firstLine="709"/>
        <w:jc w:val="both"/>
      </w:pPr>
      <w:r>
        <w:rPr>
          <w:rFonts w:cs="Times New Roman"/>
          <w:color w:val="000000"/>
        </w:rPr>
        <w:t>Согласно положениями ст.ст. 68, 67 ТК РФ п</w:t>
      </w:r>
      <w:r>
        <w:rPr>
          <w:rFonts w:cs="Times New Roman"/>
          <w:color w:val="000000"/>
          <w:shd w:val="clear" w:color="auto" w:fill="FFFFFF"/>
        </w:rPr>
        <w:t>рием на работу оформляется трудовым договором, который заключается в письменной форме.</w:t>
      </w:r>
    </w:p>
    <w:p w14:paraId="2C7024FF"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 соответствии с п. 2 ч. 1 ст. 81 ТК РФ трудовой договор может быть расторгнут работодателем в случае сокращения численности или штата работников организации, индивидуального предпринимателя.</w:t>
      </w:r>
    </w:p>
    <w:p w14:paraId="65481FAE"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Расторжение трудового договора с работником по указанному основанию возможно при условии, что он не имел преимущественного права оставления на работе.</w:t>
      </w:r>
    </w:p>
    <w:p w14:paraId="1AF43646"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 силу требований ст. 179 ТК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14:paraId="25D2C9AA"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Данное правило применяется, если сокращению подлежит одна из одинаковых должностей определенного структурного подразделения, поскольку степень производительности труда и квалификации работников возможно сравнить, лишь оценив выполнение ими одинаковых трудовых функций.</w:t>
      </w:r>
    </w:p>
    <w:p w14:paraId="228F3502"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Как правило, в качестве доказательства более высокой производительности труда учитываются такие факторы, как выполнение на должном уровне значительно большего объема работы или в более короткий срок по сравнению с другими работниками, занимающими аналогичную должность, недопущение ошибок при выполнении работы, получение работником премий за высокие показатели в работе и другие поощрения.</w:t>
      </w:r>
    </w:p>
    <w:p w14:paraId="6AF154AE"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Для подтверждения более высокой квалификации работника принимаются во внимание, помимо уровня образования, опыт и знание специфики работы, повышение работником квалификации. Для подтверждения его деловых качеств могут быть использованы докладные записки непосредственного начальника, характеристики, результаты аттестации и другие документы.</w:t>
      </w:r>
    </w:p>
    <w:p w14:paraId="474A97F0"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 случае равной производительности труда и квалификации работников, занимающих одинаковые должности, предпочтение в оставлении на работе отдается: семейным - при наличии двух или более иждивенцев, к которым относятся нетрудоспособные члены семьи, находящиеся на полном содержании работника или получающие от него помощь, являющейся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этой организации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14:paraId="13B3AE6D"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Кроме того, родитель, имеющий ребенка в возрасте до восемнадцати лет, в случае призыва другого родителя на военную службу по мобилизации, прохождения военной службы по контракту в период чрезвычайных обстоятельств, либо для участия в деятельности по поддержанию или восстановлению международного мира и безопасности, пресечения международной террористической деятельности за пределами Российской Федерации, для участия в походах кораблей, либо по контракту о добровольном содействии в выполнении задач, возложенных на Вооруженные Силы Российской Федерации, при сокращении численности или штата работников при равной производительности труда и квалификации также имеет преимущественное право на оставление на работе.</w:t>
      </w:r>
    </w:p>
    <w:p w14:paraId="6F375613"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Коллективным договором, являющимся локальным правовым актом, могут предусматриваться иные категории работников, пользующиеся преимущественным правом оставления на работе при равной производительности труда и квалификации.</w:t>
      </w:r>
    </w:p>
    <w:p w14:paraId="38EE05DF"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Нерассмотрение работодателем вопроса о преимущественном праве оставления на работе, наличии у уволенного работника более высокой производительности труда и квалификации является основанием для восстановления его в прежней должности.</w:t>
      </w:r>
    </w:p>
    <w:p w14:paraId="1E64164D" w14:textId="77777777" w:rsidR="00F92F62" w:rsidRDefault="00F92F62" w:rsidP="00F92F62">
      <w:pPr>
        <w:pStyle w:val="Textbody"/>
        <w:widowControl/>
        <w:spacing w:after="0"/>
        <w:ind w:firstLine="709"/>
        <w:jc w:val="both"/>
        <w:rPr>
          <w:rFonts w:cs="Times New Roman"/>
          <w:color w:val="000000"/>
        </w:rPr>
      </w:pPr>
      <w:r>
        <w:rPr>
          <w:rFonts w:cs="Times New Roman"/>
          <w:color w:val="000000"/>
        </w:rPr>
        <w:lastRenderedPageBreak/>
        <w:t>Статьёй 45 Гражданского процессуального кодекса Российской Федерации прокурору предоставлено право обратиться в суд с иском в защиту любых трудовых прав работника, при наличии поступившего от него обращения в прокуратуру, а по делам о восстановлении на работе прокурор вступает в процесс и дает заключение в целях осуществления возложенных на него полномочий.</w:t>
      </w:r>
    </w:p>
    <w:p w14:paraId="00B85D18"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 </w:t>
      </w:r>
    </w:p>
    <w:p w14:paraId="3A250DAF" w14:textId="7EF5A683" w:rsidR="00F92F62" w:rsidRDefault="00F92F62" w:rsidP="00F92F62">
      <w:pPr>
        <w:pStyle w:val="Standard"/>
        <w:ind w:firstLine="709"/>
        <w:jc w:val="both"/>
      </w:pPr>
      <w:bookmarkStart w:id="3" w:name="_Hlk139019816"/>
      <w:r>
        <w:rPr>
          <w:rFonts w:cs="Times New Roman"/>
          <w:b/>
          <w:color w:val="333333"/>
        </w:rPr>
        <w:t>Особенности уголовной ответственности и наказания несовершеннолетних</w:t>
      </w:r>
    </w:p>
    <w:bookmarkEnd w:id="3"/>
    <w:p w14:paraId="3A8ACCB7"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Разделом 14 Уголовного кодекса Российской Федерации (далее – УК РФ) предусмотрены особенности уголовной ответственности и наказания несовершеннолетних.</w:t>
      </w:r>
    </w:p>
    <w:p w14:paraId="79DC4FA9"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Согласно ч. 1 ст. 20 УК РФ уголовной ответственности подлежит лицо, достигшее ко времени совершения преступления шестнадцатилетнего возраста.</w:t>
      </w:r>
    </w:p>
    <w:p w14:paraId="13E8F5AB"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Уголовный кодекс Российской Федерации в статье 20 содержит закрытый перечень статьей, за совершение которых к уголовной ответственности привлекаются лица, достигшие 14-летнего возраста.  </w:t>
      </w:r>
    </w:p>
    <w:p w14:paraId="6B254A8E"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Выделение преступлений, за которые предусмотрена ответственность с 14 лет обусловлено тем, что данные преступления имеют более высокую степень общественной опасности.</w:t>
      </w:r>
    </w:p>
    <w:p w14:paraId="10AA1496"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Уголовным кодексом Российской Федерации предусмотрены особенности при назначении наказания несовершеннолетним.</w:t>
      </w:r>
    </w:p>
    <w:p w14:paraId="67E480A7"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В соответствии со статьей 88 УК РФ несовершеннолетним могут быть назначены следующие виды наказания: а) штраф; б) лишение права заниматься определенной деятельностью; в) обязательные работы; г) исправительные работы; д) ограничение свободы; е) лишение свободы на определенный срок.</w:t>
      </w:r>
    </w:p>
    <w:p w14:paraId="44286F6B"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При назначении наказания несовершеннолетнему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влияние назначенного наказания на исправление осужденного и на условия жизни его семьи, условия его жизни и воспитания, уровень психического развития, иные особенности личности, а также влияние на него старших по возрасту лиц.</w:t>
      </w:r>
    </w:p>
    <w:p w14:paraId="5E473329"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Стоит отметить, что несовершеннолетний, совершивший преступление небольшой или средней тяжести, может быть освобожден от уголовной ответственности.</w:t>
      </w:r>
    </w:p>
    <w:p w14:paraId="6C829D2F"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В случае освобождения от уголовной ответственности к несовершеннолетнему применяются принудительные меры воспитательного воздействия.</w:t>
      </w:r>
    </w:p>
    <w:p w14:paraId="69D5067D"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причиненный вред; г) ограничение досуга и установление особых требований к поведению несовершеннолетнего. </w:t>
      </w:r>
    </w:p>
    <w:p w14:paraId="2C66D156"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Несовершеннолетний, осужденный к лишению свободы за совершение преступления, может быть освобожден судом от наказания и помещен в специальное учебно-воспитательное учреждение закрытого типа.</w:t>
      </w:r>
    </w:p>
    <w:p w14:paraId="7F79A79B"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Статья 95 УК РФ предусматривает сокращенные сроки погашения судимости для несовершеннолетних: а) шесть месяцев после отбытия или исполнения наказания более мягкого,       </w:t>
      </w:r>
    </w:p>
    <w:p w14:paraId="791FDD91"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чем лишение свободы; б) один год после отбытия лишения свободы за преступление небольшой или средней тяжести; в) три года после отбытия лишения свободы за тяжкое или особо тяжкое преступление.</w:t>
      </w:r>
    </w:p>
    <w:p w14:paraId="5683F20B" w14:textId="77777777" w:rsidR="00F92F62" w:rsidRDefault="00F92F62" w:rsidP="00F92F62">
      <w:pPr>
        <w:pStyle w:val="Standard"/>
        <w:ind w:firstLine="709"/>
        <w:jc w:val="both"/>
        <w:rPr>
          <w:rFonts w:cs="Times New Roman"/>
        </w:rPr>
      </w:pPr>
    </w:p>
    <w:p w14:paraId="1EE97F44" w14:textId="363DE136" w:rsidR="00F92F62" w:rsidRDefault="00F92F62" w:rsidP="00F92F62">
      <w:pPr>
        <w:pStyle w:val="Standard"/>
        <w:ind w:firstLine="709"/>
        <w:jc w:val="both"/>
      </w:pPr>
      <w:bookmarkStart w:id="4" w:name="_Hlk139019827"/>
      <w:r>
        <w:rPr>
          <w:rFonts w:cs="Times New Roman"/>
          <w:b/>
          <w:color w:val="333333"/>
        </w:rPr>
        <w:t>Порядок приема детей в первый класс в 2023 году</w:t>
      </w:r>
    </w:p>
    <w:bookmarkEnd w:id="4"/>
    <w:p w14:paraId="7EC4236C"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Приказом Минпросвещения России от 02.09.2020 № 458 утвержден Порядок приема на обучение по образовательным программам начального общего, основного общего и среднего общего образования.</w:t>
      </w:r>
    </w:p>
    <w:p w14:paraId="458FF0A0" w14:textId="77777777" w:rsidR="00F92F62" w:rsidRDefault="00F92F62" w:rsidP="00F92F62">
      <w:pPr>
        <w:pStyle w:val="Textbody"/>
        <w:widowControl/>
        <w:spacing w:after="0"/>
        <w:ind w:firstLine="709"/>
        <w:jc w:val="both"/>
        <w:rPr>
          <w:rFonts w:cs="Times New Roman"/>
          <w:color w:val="000000"/>
        </w:rPr>
      </w:pPr>
      <w:r>
        <w:rPr>
          <w:rFonts w:cs="Times New Roman"/>
          <w:color w:val="000000"/>
        </w:rPr>
        <w:lastRenderedPageBreak/>
        <w:t>За каждым образовательным учреждением органом местного самоуправления закреплена конкретная территория, о чем не позднее 15 марта издается соответствующий распорядительный документ.</w:t>
      </w:r>
    </w:p>
    <w:p w14:paraId="3E0F16D9"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Зачисление в общеобразовательную организацию осуществляется в течение всего учебного года при наличии свободных мест. Прием заявлений на обучение в первый класс в образовательные учреждения на закрепленной территории начинается с 1 апреля текущего года и завершается 30 июня текущего года.</w:t>
      </w:r>
    </w:p>
    <w:p w14:paraId="63EC4BCF"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Для детей, не проживающих на закрепленной территории, прием заявлений о приеме на обучение в первый класс начинается с 6 июля текущего года до момента заполнения свободных мест, но не позднее 5 сентября текущего года.</w:t>
      </w:r>
    </w:p>
    <w:p w14:paraId="7B254140"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Заявление о приеме на обучение и документы подаются родителем либо законным представителем ребенка  в общеобразовательную организацию лично,  через почтовую связь общего пользования заказным письмом с уведомлением о вручении либо в электронной форме.</w:t>
      </w:r>
    </w:p>
    <w:p w14:paraId="5F453A85"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и документов.</w:t>
      </w:r>
    </w:p>
    <w:p w14:paraId="7DE2ED55"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При поступлении на обучение общеобразовательная организация обязана ознакомить ученика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5B7E119"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 </w:t>
      </w:r>
    </w:p>
    <w:p w14:paraId="7A434270" w14:textId="0A45E3B9" w:rsidR="00F92F62" w:rsidRDefault="00F92F62" w:rsidP="00F92F62">
      <w:pPr>
        <w:pStyle w:val="Standard"/>
        <w:ind w:firstLine="709"/>
        <w:jc w:val="both"/>
      </w:pPr>
      <w:bookmarkStart w:id="5" w:name="_Hlk139019835"/>
      <w:r>
        <w:rPr>
          <w:rFonts w:cs="Times New Roman"/>
          <w:b/>
          <w:color w:val="333333"/>
        </w:rPr>
        <w:t>О порядке назначения административного наказания при совершении двух и более правонарушений</w:t>
      </w:r>
    </w:p>
    <w:bookmarkEnd w:id="5"/>
    <w:p w14:paraId="0158B209" w14:textId="77777777" w:rsidR="00F92F62" w:rsidRDefault="00F92F62" w:rsidP="00F92F62">
      <w:pPr>
        <w:pStyle w:val="Textbody"/>
        <w:widowControl/>
        <w:spacing w:after="0"/>
        <w:ind w:firstLine="709"/>
        <w:jc w:val="both"/>
        <w:rPr>
          <w:rFonts w:cs="Times New Roman"/>
          <w:color w:val="000000"/>
          <w:shd w:val="clear" w:color="auto" w:fill="FFFFFF"/>
        </w:rPr>
      </w:pPr>
      <w:r>
        <w:rPr>
          <w:rFonts w:cs="Times New Roman"/>
          <w:color w:val="000000"/>
          <w:shd w:val="clear" w:color="auto" w:fill="FFFFFF"/>
        </w:rPr>
        <w:t>Вопросы назначения административного наказания по совокупности административных правонарушений регламентированы ст. 4.4 Кодекса Российской Федерации об административных правонарушениях (далее – КоАП РФ).</w:t>
      </w:r>
    </w:p>
    <w:p w14:paraId="42B2B3C0" w14:textId="77777777" w:rsidR="00F92F62" w:rsidRDefault="00F92F62" w:rsidP="00F92F62">
      <w:pPr>
        <w:pStyle w:val="Textbody"/>
        <w:widowControl/>
        <w:spacing w:after="0"/>
        <w:ind w:firstLine="709"/>
        <w:jc w:val="both"/>
        <w:rPr>
          <w:rFonts w:cs="Times New Roman"/>
          <w:color w:val="000000"/>
          <w:shd w:val="clear" w:color="auto" w:fill="FFFFFF"/>
        </w:rPr>
      </w:pPr>
      <w:r>
        <w:rPr>
          <w:rFonts w:cs="Times New Roman"/>
          <w:color w:val="000000"/>
          <w:shd w:val="clear" w:color="auto" w:fill="FFFFFF"/>
        </w:rPr>
        <w:t>По общему правилу,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14:paraId="5CA6943B" w14:textId="77777777" w:rsidR="00F92F62" w:rsidRDefault="00F92F62" w:rsidP="00F92F62">
      <w:pPr>
        <w:pStyle w:val="Textbody"/>
        <w:widowControl/>
        <w:spacing w:after="0"/>
        <w:ind w:firstLine="709"/>
        <w:jc w:val="both"/>
        <w:rPr>
          <w:rFonts w:cs="Times New Roman"/>
          <w:color w:val="000000"/>
          <w:shd w:val="clear" w:color="auto" w:fill="FFFFFF"/>
        </w:rPr>
      </w:pPr>
      <w:r>
        <w:rPr>
          <w:rFonts w:cs="Times New Roman"/>
          <w:color w:val="000000"/>
          <w:shd w:val="clear" w:color="auto" w:fill="FFFFFF"/>
        </w:rPr>
        <w:t>Однако из этого правила предусмотрен ряд исключений.</w:t>
      </w:r>
    </w:p>
    <w:p w14:paraId="7D918BAC" w14:textId="77777777" w:rsidR="00F92F62" w:rsidRDefault="00F92F62" w:rsidP="00F92F62">
      <w:pPr>
        <w:pStyle w:val="Textbody"/>
        <w:widowControl/>
        <w:spacing w:after="0"/>
        <w:ind w:firstLine="709"/>
        <w:jc w:val="both"/>
        <w:rPr>
          <w:rFonts w:cs="Times New Roman"/>
          <w:color w:val="000000"/>
          <w:shd w:val="clear" w:color="auto" w:fill="FFFFFF"/>
        </w:rPr>
      </w:pPr>
      <w:r>
        <w:rPr>
          <w:rFonts w:cs="Times New Roman"/>
          <w:color w:val="000000"/>
          <w:shd w:val="clear" w:color="auto" w:fill="FFFFFF"/>
        </w:rPr>
        <w:t>Так, при идеальной совокупности правонарушений, то есть когда лицо одним действием совершает 2 и более административных правонарушения, ответственность за которые предусмотрена двумя и более статьями (частями статей) КоАП РФ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статьи, предусматривающей более строгое административного наказание (ч. 2 ст. 4.4 КоАП РФ).</w:t>
      </w:r>
    </w:p>
    <w:p w14:paraId="53A8496F" w14:textId="77777777" w:rsidR="00F92F62" w:rsidRDefault="00F92F62" w:rsidP="00F92F62">
      <w:pPr>
        <w:pStyle w:val="Textbody"/>
        <w:widowControl/>
        <w:spacing w:after="0"/>
        <w:ind w:firstLine="709"/>
        <w:jc w:val="both"/>
        <w:rPr>
          <w:rFonts w:cs="Times New Roman"/>
          <w:color w:val="000000"/>
          <w:shd w:val="clear" w:color="auto" w:fill="FFFFFF"/>
        </w:rPr>
      </w:pPr>
      <w:r>
        <w:rPr>
          <w:rFonts w:cs="Times New Roman"/>
          <w:color w:val="000000"/>
          <w:shd w:val="clear" w:color="auto" w:fill="FFFFFF"/>
        </w:rPr>
        <w:t>Например, управление незарегистрированным транспортным средством водителем, находящимся в состоянии опьянения, содержит признаки правонарушений, предусмотренных одновременно ст. 12.1 КоАП РФ и ч. 1 ст. 12.8 КоАП РФ. В таком случае наказание будет назначено в пределах санкции ст. 12.8 КоАП РФ, предусматривающей более строгое наказание.</w:t>
      </w:r>
    </w:p>
    <w:p w14:paraId="7A15FC37" w14:textId="77777777" w:rsidR="00F92F62" w:rsidRDefault="00F92F62" w:rsidP="00F92F62">
      <w:pPr>
        <w:pStyle w:val="Textbody"/>
        <w:widowControl/>
        <w:spacing w:after="0"/>
        <w:ind w:firstLine="709"/>
        <w:jc w:val="both"/>
        <w:rPr>
          <w:rFonts w:cs="Times New Roman"/>
          <w:color w:val="000000"/>
          <w:shd w:val="clear" w:color="auto" w:fill="FFFFFF"/>
        </w:rPr>
      </w:pPr>
      <w:r>
        <w:rPr>
          <w:rFonts w:cs="Times New Roman"/>
          <w:color w:val="000000"/>
          <w:shd w:val="clear" w:color="auto" w:fill="FFFFFF"/>
        </w:rPr>
        <w:t>Кроме того, в случае выявления в ходе одного контрольного (надзорного) мероприятия соответствующим контролирующим (надзорным) органом двух и более административных правонарушений, ответственность за которые предусмотрена одной и той же статьей (частью статьи) Особенной части КоАП РФ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14:paraId="3879C277" w14:textId="77777777" w:rsidR="00F92F62" w:rsidRDefault="00F92F62" w:rsidP="00F92F62">
      <w:pPr>
        <w:pStyle w:val="Textbody"/>
        <w:widowControl/>
        <w:spacing w:after="0"/>
        <w:ind w:firstLine="709"/>
        <w:jc w:val="both"/>
        <w:rPr>
          <w:rFonts w:cs="Times New Roman"/>
          <w:color w:val="000000"/>
          <w:shd w:val="clear" w:color="auto" w:fill="FFFFFF"/>
        </w:rPr>
      </w:pPr>
      <w:r>
        <w:rPr>
          <w:rFonts w:cs="Times New Roman"/>
          <w:color w:val="000000"/>
          <w:shd w:val="clear" w:color="auto" w:fill="FFFFFF"/>
        </w:rPr>
        <w:t xml:space="preserve">Если же в ходе одного и того же контрольного (надзорного) мероприятия будут выявлены несколько правонарушений, ответственность за которые предусмотрена разными статьями (частями статей) КоАП РФ или соответствующего закона субъекта Российской Федерации, то наказание назначается по тем же правилам, что и при идеальной совокупности </w:t>
      </w:r>
      <w:r>
        <w:rPr>
          <w:rFonts w:cs="Times New Roman"/>
          <w:color w:val="000000"/>
          <w:shd w:val="clear" w:color="auto" w:fill="FFFFFF"/>
        </w:rPr>
        <w:lastRenderedPageBreak/>
        <w:t>правонарушений, то есть в пределах санкции статьи, предусматривающей более строгое наказание.</w:t>
      </w:r>
    </w:p>
    <w:p w14:paraId="32262C11"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 </w:t>
      </w:r>
    </w:p>
    <w:p w14:paraId="7D756409" w14:textId="3101DDE3" w:rsidR="00F92F62" w:rsidRDefault="00F92F62" w:rsidP="00F92F62">
      <w:pPr>
        <w:pStyle w:val="Standard"/>
        <w:ind w:firstLine="709"/>
        <w:jc w:val="both"/>
      </w:pPr>
      <w:bookmarkStart w:id="6" w:name="_Hlk139019843"/>
      <w:bookmarkStart w:id="7" w:name="_GoBack"/>
      <w:bookmarkEnd w:id="7"/>
      <w:r>
        <w:rPr>
          <w:rFonts w:cs="Times New Roman"/>
          <w:b/>
          <w:color w:val="333333"/>
        </w:rPr>
        <w:t>Преступления против семьи</w:t>
      </w:r>
    </w:p>
    <w:bookmarkEnd w:id="6"/>
    <w:p w14:paraId="1B8BA1A3"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Необходимость особой охраны семейных ценностей подчеркивается выделением преступлений против семьи и несовершеннолетних в отдельную главу 20 Уголовного кодекса Российской Федерации (далее – УК РФ) -  преступления против семьи и несовершеннолетних.</w:t>
      </w:r>
    </w:p>
    <w:p w14:paraId="56C4A123"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Противоправные деяния, включенные в эту главу, подразделяются на две группы: преступления, связанные с нарушением интересов воспитания несовершеннолетнего путем непосредственного вовлечения его в совершение уголовно-наказуемых и иных антиобщественных действий (ст.ст. 150 – 151 УК РФ) и преступления, связанные с причинением вреда несовершеннолетнему или интересам семьи в целом (ст.ст. 153 – 157 УК РФ).</w:t>
      </w:r>
    </w:p>
    <w:p w14:paraId="50669B06"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Субъектом преступлений против семьи и несовершеннолетних является лицо, достигшее 16 лет, за исключением преступлений, предусмотренных ст.ст. 150, 151, 151.1, 151.2, 155, 156, 157 УК РФ, где субъектами выступают либо лица, достигшие 18-летнего возраста, либо родители, педагоги или иные лица, на которых законом возложены обязанности по воспитанию несовершеннолетних, либо лица, обязанные хранить факт усыновления (удочерения),  обязанные по закону уплачивать средства на содержание несовершеннолетних детей, а равно  нетрудоспособных детей, достигших 18 – летнего возраста, либо совершеннолетние трудоспособные дети, обязанные по закону уплачивать средства на содержание нетрудоспособных родителей, либо лица, занимающиеся розничной продажей алкогольной продукции несовершеннолетним (ст. 151.1 УК РФ).</w:t>
      </w:r>
    </w:p>
    <w:p w14:paraId="0B5610D2"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Видовым объектом данных преступлений являются общественные отношения, обеспечивающие материальные и нематериальные условия для нормального физического, интеллектуального и нравственного формирования личности несовершеннолетнего, а также нормальное существование нетрудоспособных детей, нетрудоспособных родителей и интересы семьи.</w:t>
      </w:r>
    </w:p>
    <w:p w14:paraId="7FD00161"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Объективная сторона указанных преступлений в большинстве составов характеризуется действиями, за исключением неисполнения обязанностей по воспитанию несовершеннолетнего (ст. 156 УК РФ) и злостного уклонения от уплаты средств на содержание детей или нетрудоспособных родителей, которые совершаются путем бездействия.</w:t>
      </w:r>
    </w:p>
    <w:p w14:paraId="69D1F62C"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В некоторых преступлениях обязательным признаком является способ совершения преступления, например, по ст.ст. 150 и 151 УК РФ.</w:t>
      </w:r>
    </w:p>
    <w:p w14:paraId="36DDF3A4"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Как показывает судебная практика, предпосылками к совершению уголовно-наказуемых деяний в отношении несовершеннолетних в некоторых случаях являются их социальное неблагополучие и безнадзорность.</w:t>
      </w:r>
    </w:p>
    <w:p w14:paraId="7BD8A581" w14:textId="77777777" w:rsidR="00F92F62" w:rsidRDefault="00F92F62" w:rsidP="00F92F62">
      <w:pPr>
        <w:pStyle w:val="Textbody"/>
        <w:widowControl/>
        <w:spacing w:after="0"/>
        <w:ind w:firstLine="709"/>
        <w:jc w:val="both"/>
        <w:rPr>
          <w:rFonts w:cs="Times New Roman"/>
          <w:color w:val="000000"/>
        </w:rPr>
      </w:pPr>
      <w:r>
        <w:rPr>
          <w:rFonts w:cs="Times New Roman"/>
          <w:color w:val="000000"/>
        </w:rPr>
        <w:t>Нередко обстоятельствами, способствующими совершению преступлений в отношении детей и подростков, является недостаточный (ненадлежащий) контроль со стороны законных представителей.</w:t>
      </w:r>
    </w:p>
    <w:p w14:paraId="41523847" w14:textId="77777777" w:rsidR="00F92F62" w:rsidRDefault="00F92F62" w:rsidP="00F92F62">
      <w:pPr>
        <w:pStyle w:val="Textbody"/>
        <w:widowControl/>
        <w:spacing w:after="0"/>
        <w:ind w:firstLine="709"/>
        <w:jc w:val="both"/>
        <w:rPr>
          <w:rFonts w:cs="Times New Roman"/>
          <w:color w:val="333333"/>
        </w:rPr>
      </w:pPr>
      <w:r>
        <w:rPr>
          <w:rFonts w:cs="Times New Roman"/>
          <w:color w:val="333333"/>
        </w:rPr>
        <w:t> </w:t>
      </w:r>
    </w:p>
    <w:p w14:paraId="3BD82262" w14:textId="45466F35" w:rsidR="00F92F62" w:rsidRDefault="00F92F62" w:rsidP="00F92F62">
      <w:pPr>
        <w:pStyle w:val="Standard"/>
        <w:tabs>
          <w:tab w:val="left" w:pos="2132"/>
        </w:tabs>
        <w:ind w:firstLine="709"/>
        <w:jc w:val="both"/>
        <w:rPr>
          <w:rFonts w:cs="Times New Roman"/>
        </w:rPr>
      </w:pPr>
    </w:p>
    <w:p w14:paraId="0B0D1FBB" w14:textId="77777777" w:rsidR="008601C1" w:rsidRDefault="008601C1"/>
    <w:sectPr w:rsidR="008601C1">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1C1"/>
    <w:rsid w:val="008601C1"/>
    <w:rsid w:val="00F9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9246"/>
  <w15:chartTrackingRefBased/>
  <w15:docId w15:val="{217067FE-75E2-462C-A81D-8506C723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92F6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F92F6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3071</Words>
  <Characters>17508</Characters>
  <Application>Microsoft Office Word</Application>
  <DocSecurity>0</DocSecurity>
  <Lines>145</Lines>
  <Paragraphs>41</Paragraphs>
  <ScaleCrop>false</ScaleCrop>
  <Company>Прокуратура РФ</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2</cp:revision>
  <dcterms:created xsi:type="dcterms:W3CDTF">2023-06-30T05:32:00Z</dcterms:created>
  <dcterms:modified xsi:type="dcterms:W3CDTF">2023-06-30T05:34:00Z</dcterms:modified>
</cp:coreProperties>
</file>