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D2F" w:rsidRPr="00FF7D2F" w:rsidRDefault="00FF7D2F" w:rsidP="00AB1E3B">
      <w:pPr>
        <w:spacing w:line="276" w:lineRule="auto"/>
        <w:ind w:firstLine="709"/>
        <w:jc w:val="center"/>
        <w:rPr>
          <w:b/>
          <w:snapToGrid/>
          <w:color w:val="FF0000"/>
          <w:szCs w:val="26"/>
        </w:rPr>
      </w:pPr>
      <w:r w:rsidRPr="00FF7D2F">
        <w:rPr>
          <w:b/>
          <w:snapToGrid/>
          <w:color w:val="FF0000"/>
          <w:szCs w:val="26"/>
        </w:rPr>
        <w:t>ВНИМАНИЕ! НУЖНО ПОМНИТЬ!</w:t>
      </w:r>
    </w:p>
    <w:p w:rsidR="00FF7D2F" w:rsidRDefault="00FF7D2F" w:rsidP="00AB1E3B">
      <w:pPr>
        <w:spacing w:line="276" w:lineRule="auto"/>
        <w:ind w:firstLine="709"/>
        <w:jc w:val="center"/>
        <w:rPr>
          <w:b/>
          <w:snapToGrid/>
          <w:color w:val="365F91" w:themeColor="accent1" w:themeShade="BF"/>
          <w:szCs w:val="26"/>
        </w:rPr>
      </w:pPr>
    </w:p>
    <w:p w:rsidR="00AB1E3B" w:rsidRPr="00FF7D2F" w:rsidRDefault="00AB1E3B" w:rsidP="00AB1E3B">
      <w:pPr>
        <w:spacing w:line="276" w:lineRule="auto"/>
        <w:ind w:firstLine="709"/>
        <w:jc w:val="center"/>
        <w:rPr>
          <w:snapToGrid/>
          <w:color w:val="365F91" w:themeColor="accent1" w:themeShade="BF"/>
          <w:szCs w:val="26"/>
        </w:rPr>
      </w:pPr>
      <w:r w:rsidRPr="00FF7D2F">
        <w:rPr>
          <w:b/>
          <w:snapToGrid/>
          <w:color w:val="365F91" w:themeColor="accent1" w:themeShade="BF"/>
          <w:szCs w:val="26"/>
        </w:rPr>
        <w:t>Ответственн</w:t>
      </w:r>
      <w:bookmarkStart w:id="0" w:name="_GoBack"/>
      <w:bookmarkEnd w:id="0"/>
      <w:r w:rsidRPr="00FF7D2F">
        <w:rPr>
          <w:b/>
          <w:snapToGrid/>
          <w:color w:val="365F91" w:themeColor="accent1" w:themeShade="BF"/>
          <w:szCs w:val="26"/>
        </w:rPr>
        <w:t xml:space="preserve">ость и последствия передачи полученной квалифицированной электронной подписи </w:t>
      </w:r>
      <w:r w:rsidRPr="00FF7D2F">
        <w:rPr>
          <w:b/>
          <w:snapToGrid/>
          <w:color w:val="365F91" w:themeColor="accent1" w:themeShade="BF"/>
          <w:szCs w:val="26"/>
        </w:rPr>
        <w:br/>
        <w:t>третьим лицам</w:t>
      </w:r>
      <w:r w:rsidRPr="00FF7D2F">
        <w:rPr>
          <w:snapToGrid/>
          <w:color w:val="365F91" w:themeColor="accent1" w:themeShade="BF"/>
          <w:szCs w:val="26"/>
        </w:rPr>
        <w:t xml:space="preserve"> </w:t>
      </w:r>
      <w:r w:rsidRPr="00FF7D2F">
        <w:rPr>
          <w:b/>
          <w:snapToGrid/>
          <w:color w:val="365F91" w:themeColor="accent1" w:themeShade="BF"/>
          <w:szCs w:val="26"/>
        </w:rPr>
        <w:t>(далее - КЭП)</w:t>
      </w:r>
    </w:p>
    <w:p w:rsidR="00FF7D2F" w:rsidRDefault="00FF7D2F" w:rsidP="00AB1E3B">
      <w:pPr>
        <w:spacing w:line="276" w:lineRule="auto"/>
        <w:ind w:firstLine="709"/>
        <w:jc w:val="both"/>
        <w:rPr>
          <w:snapToGrid/>
          <w:color w:val="365F91" w:themeColor="accent1" w:themeShade="BF"/>
          <w:sz w:val="24"/>
          <w:szCs w:val="24"/>
        </w:rPr>
      </w:pPr>
    </w:p>
    <w:p w:rsidR="00AB1E3B" w:rsidRPr="000F56E6" w:rsidRDefault="00AB1E3B" w:rsidP="000F56E6">
      <w:pPr>
        <w:pStyle w:val="Default"/>
        <w:ind w:firstLine="708"/>
        <w:jc w:val="both"/>
        <w:rPr>
          <w:i/>
          <w:color w:val="365F91" w:themeColor="accent1" w:themeShade="BF"/>
        </w:rPr>
      </w:pPr>
      <w:proofErr w:type="gramStart"/>
      <w:r w:rsidRPr="00FF7D2F">
        <w:rPr>
          <w:color w:val="365F91" w:themeColor="accent1" w:themeShade="BF"/>
        </w:rPr>
        <w:t>В целях реализации положений Федерального закона от 27.12.2019 № 476-ФЗ ФНС России нача</w:t>
      </w:r>
      <w:r w:rsidR="005D38A0">
        <w:rPr>
          <w:color w:val="365F91" w:themeColor="accent1" w:themeShade="BF"/>
        </w:rPr>
        <w:t>ла</w:t>
      </w:r>
      <w:r w:rsidRPr="00FF7D2F">
        <w:rPr>
          <w:color w:val="365F91" w:themeColor="accent1" w:themeShade="BF"/>
        </w:rPr>
        <w:t xml:space="preserve"> выпуск квалифицированных сертификатов ключа проверки электронной подписи для юридических лиц, индивидуальных предпринимателей и нотариусов </w:t>
      </w:r>
      <w:r w:rsidRPr="00FF7D2F">
        <w:rPr>
          <w:b/>
          <w:color w:val="365F91" w:themeColor="accent1" w:themeShade="BF"/>
        </w:rPr>
        <w:t>с 01.0</w:t>
      </w:r>
      <w:r w:rsidR="005D38A0">
        <w:rPr>
          <w:b/>
          <w:color w:val="365F91" w:themeColor="accent1" w:themeShade="BF"/>
        </w:rPr>
        <w:t>6</w:t>
      </w:r>
      <w:r w:rsidRPr="00FF7D2F">
        <w:rPr>
          <w:b/>
          <w:color w:val="365F91" w:themeColor="accent1" w:themeShade="BF"/>
        </w:rPr>
        <w:t>.2021</w:t>
      </w:r>
      <w:r w:rsidR="000F56E6">
        <w:rPr>
          <w:b/>
          <w:color w:val="365F91" w:themeColor="accent1" w:themeShade="BF"/>
        </w:rPr>
        <w:t xml:space="preserve"> </w:t>
      </w:r>
      <w:r w:rsidR="000F56E6" w:rsidRPr="000F56E6">
        <w:rPr>
          <w:i/>
          <w:color w:val="365F91" w:themeColor="accent1" w:themeShade="BF"/>
        </w:rPr>
        <w:t>(приказ ФНС России от 12.04.2021 № ЕД-7-24/329@  «О проведении пилотного выпуска сертификатов ключей  проверки электронной подписи в УЦ ФНС России для юридических лиц  (лиц, имеющих право без доверенности действовать от имени юридического</w:t>
      </w:r>
      <w:proofErr w:type="gramEnd"/>
      <w:r w:rsidR="000F56E6" w:rsidRPr="000F56E6">
        <w:rPr>
          <w:i/>
          <w:color w:val="365F91" w:themeColor="accent1" w:themeShade="BF"/>
        </w:rPr>
        <w:t xml:space="preserve"> </w:t>
      </w:r>
      <w:proofErr w:type="gramStart"/>
      <w:r w:rsidR="000F56E6" w:rsidRPr="000F56E6">
        <w:rPr>
          <w:i/>
          <w:color w:val="365F91" w:themeColor="accent1" w:themeShade="BF"/>
        </w:rPr>
        <w:t>лица), индивидуальных предпринимателей и нотариусов»).</w:t>
      </w:r>
      <w:proofErr w:type="gramEnd"/>
    </w:p>
    <w:p w:rsidR="000F56E6" w:rsidRDefault="000F56E6" w:rsidP="00AB1E3B">
      <w:pPr>
        <w:spacing w:line="276" w:lineRule="auto"/>
        <w:ind w:firstLine="709"/>
        <w:jc w:val="both"/>
        <w:rPr>
          <w:snapToGrid/>
          <w:color w:val="365F91" w:themeColor="accent1" w:themeShade="BF"/>
          <w:sz w:val="24"/>
          <w:szCs w:val="24"/>
        </w:rPr>
      </w:pPr>
    </w:p>
    <w:p w:rsidR="00AB1E3B" w:rsidRPr="00FF7D2F" w:rsidRDefault="00AB1E3B" w:rsidP="00AB1E3B">
      <w:pPr>
        <w:spacing w:line="276" w:lineRule="auto"/>
        <w:ind w:firstLine="709"/>
        <w:jc w:val="both"/>
        <w:rPr>
          <w:snapToGrid/>
          <w:color w:val="365F91" w:themeColor="accent1" w:themeShade="BF"/>
          <w:sz w:val="24"/>
          <w:szCs w:val="24"/>
        </w:rPr>
      </w:pPr>
      <w:r w:rsidRPr="00FF7D2F">
        <w:rPr>
          <w:snapToGrid/>
          <w:color w:val="365F91" w:themeColor="accent1" w:themeShade="BF"/>
          <w:sz w:val="24"/>
          <w:szCs w:val="24"/>
        </w:rPr>
        <w:t xml:space="preserve">УФНС России по Республике Хакасия предупреждает, об ответственности и последствиях передачи КЭП третьим лицам, в частности: </w:t>
      </w:r>
    </w:p>
    <w:p w:rsidR="00AB1E3B" w:rsidRPr="00FF7D2F" w:rsidRDefault="00AB1E3B" w:rsidP="00AB1E3B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snapToGrid/>
          <w:color w:val="365F91" w:themeColor="accent1" w:themeShade="BF"/>
          <w:sz w:val="24"/>
          <w:szCs w:val="24"/>
        </w:rPr>
      </w:pPr>
      <w:r w:rsidRPr="00FF7D2F">
        <w:rPr>
          <w:snapToGrid/>
          <w:color w:val="365F91" w:themeColor="accent1" w:themeShade="BF"/>
          <w:sz w:val="24"/>
          <w:szCs w:val="24"/>
        </w:rPr>
        <w:t>Согласно пункту 1 статьи 6 Федерального закона от 06.04.2011 № 63-ФЗ «Об электронной подписи», информация в электронной форме, подписанная КЭП, признается равнозначной документу на бумажном носителе, подписанному собственноручной подписью,</w:t>
      </w:r>
      <w:r w:rsidR="00220E03">
        <w:rPr>
          <w:snapToGrid/>
          <w:color w:val="365F91" w:themeColor="accent1" w:themeShade="BF"/>
          <w:sz w:val="24"/>
          <w:szCs w:val="24"/>
        </w:rPr>
        <w:t xml:space="preserve"> </w:t>
      </w:r>
      <w:r w:rsidRPr="00FF7D2F">
        <w:rPr>
          <w:snapToGrid/>
          <w:color w:val="365F91" w:themeColor="accent1" w:themeShade="BF"/>
          <w:sz w:val="24"/>
          <w:szCs w:val="24"/>
        </w:rPr>
        <w:t>и может применяться в любых правоотношениях</w:t>
      </w:r>
      <w:r w:rsidR="00220E03">
        <w:rPr>
          <w:snapToGrid/>
          <w:color w:val="365F91" w:themeColor="accent1" w:themeShade="BF"/>
          <w:sz w:val="24"/>
          <w:szCs w:val="24"/>
        </w:rPr>
        <w:t xml:space="preserve"> </w:t>
      </w:r>
      <w:r w:rsidRPr="00FF7D2F">
        <w:rPr>
          <w:snapToGrid/>
          <w:color w:val="365F91" w:themeColor="accent1" w:themeShade="BF"/>
          <w:sz w:val="24"/>
          <w:szCs w:val="24"/>
        </w:rPr>
        <w:t xml:space="preserve">гражданско-правового характера. </w:t>
      </w:r>
    </w:p>
    <w:p w:rsidR="00AB1E3B" w:rsidRPr="00FF7D2F" w:rsidRDefault="00AB1E3B" w:rsidP="00AB1E3B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snapToGrid/>
          <w:color w:val="365F91" w:themeColor="accent1" w:themeShade="BF"/>
          <w:sz w:val="24"/>
          <w:szCs w:val="24"/>
        </w:rPr>
      </w:pPr>
      <w:r w:rsidRPr="00FF7D2F">
        <w:rPr>
          <w:snapToGrid/>
          <w:color w:val="365F91" w:themeColor="accent1" w:themeShade="BF"/>
          <w:sz w:val="24"/>
          <w:szCs w:val="24"/>
        </w:rPr>
        <w:t>В соответствии с частью 1 пункта 1 статьи 10 Федерального закона от 06.04.2011 № 63-ФЗ «Об электронной подписи», при использовании КЭП, участники электронного взаимодействия обязаны обеспечивать конфиденциальность ключей электронной подписи и не допускать использование электронной подписи без согласия владельца.</w:t>
      </w:r>
    </w:p>
    <w:p w:rsidR="00AB1E3B" w:rsidRPr="00FF7D2F" w:rsidRDefault="00AB1E3B" w:rsidP="00AB1E3B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snapToGrid/>
          <w:color w:val="365F91" w:themeColor="accent1" w:themeShade="BF"/>
          <w:sz w:val="24"/>
          <w:szCs w:val="24"/>
        </w:rPr>
      </w:pPr>
      <w:r w:rsidRPr="00FF7D2F">
        <w:rPr>
          <w:snapToGrid/>
          <w:color w:val="365F91" w:themeColor="accent1" w:themeShade="BF"/>
          <w:sz w:val="24"/>
          <w:szCs w:val="24"/>
        </w:rPr>
        <w:t>Представление недостоверных сведений о юридическом лице или об индивидуальном предпринимателе в орган, осуществляющий государственную регистрацию юридических лиц и индивидуальных предпринимателей, является административным правонарушением и влечет за собой ответственность в соответствии со статьей 14.25 Кодекса Российской Федерации об административных правонарушениях.</w:t>
      </w:r>
    </w:p>
    <w:p w:rsidR="00AB1E3B" w:rsidRPr="00FF7D2F" w:rsidRDefault="00AB1E3B" w:rsidP="00AB1E3B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snapToGrid/>
          <w:color w:val="365F91" w:themeColor="accent1" w:themeShade="BF"/>
          <w:sz w:val="24"/>
          <w:szCs w:val="24"/>
        </w:rPr>
      </w:pPr>
      <w:r w:rsidRPr="00FF7D2F">
        <w:rPr>
          <w:snapToGrid/>
          <w:color w:val="365F91" w:themeColor="accent1" w:themeShade="BF"/>
          <w:sz w:val="24"/>
          <w:szCs w:val="24"/>
        </w:rPr>
        <w:t>Передача своей КЭП третьим лицам, в случае ее использования в целях образования (создания, реорганизации) юридического лица, также может расцениваться как деяние, ответственность за которое предусматривается статьей 173.2 Уголовного кодекса Российской Федерации.</w:t>
      </w:r>
    </w:p>
    <w:p w:rsidR="00AB1E3B" w:rsidRPr="00FF7D2F" w:rsidRDefault="00AB1E3B" w:rsidP="00AB1E3B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snapToGrid/>
          <w:color w:val="365F91" w:themeColor="accent1" w:themeShade="BF"/>
          <w:sz w:val="24"/>
          <w:szCs w:val="24"/>
        </w:rPr>
      </w:pPr>
      <w:r w:rsidRPr="00FF7D2F">
        <w:rPr>
          <w:snapToGrid/>
          <w:color w:val="365F91" w:themeColor="accent1" w:themeShade="BF"/>
          <w:sz w:val="24"/>
          <w:szCs w:val="24"/>
        </w:rPr>
        <w:t>В случае доказанности факта уклонения от уплаты налогов и/или сборов созданной организации, лицо, получившее КЭП организации, но при этом не имеющее отношения к ведению ее финансово-хозяйственной деятельности и передавшее ее третьим лицам (номинальный директор), может быть привлечено к ответственности согласно статье 199 Уголовного кодекса Российской Федерации.</w:t>
      </w:r>
    </w:p>
    <w:p w:rsidR="00BF3833" w:rsidRPr="00FF7D2F" w:rsidRDefault="00BF3833">
      <w:pPr>
        <w:rPr>
          <w:color w:val="365F91" w:themeColor="accent1" w:themeShade="BF"/>
          <w:sz w:val="24"/>
          <w:szCs w:val="24"/>
        </w:rPr>
      </w:pPr>
    </w:p>
    <w:sectPr w:rsidR="00BF3833" w:rsidRPr="00FF7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F2896"/>
    <w:multiLevelType w:val="hybridMultilevel"/>
    <w:tmpl w:val="1B82A708"/>
    <w:lvl w:ilvl="0" w:tplc="B1F8F9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E3B"/>
    <w:rsid w:val="000A0C8F"/>
    <w:rsid w:val="000F56E6"/>
    <w:rsid w:val="00220E03"/>
    <w:rsid w:val="005D38A0"/>
    <w:rsid w:val="007A0DCF"/>
    <w:rsid w:val="00801A26"/>
    <w:rsid w:val="00AB1E3B"/>
    <w:rsid w:val="00BF3833"/>
    <w:rsid w:val="00FF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E3B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E3B"/>
    <w:pPr>
      <w:ind w:left="720"/>
      <w:contextualSpacing/>
    </w:pPr>
  </w:style>
  <w:style w:type="paragraph" w:customStyle="1" w:styleId="Default">
    <w:name w:val="Default"/>
    <w:rsid w:val="000F56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E3B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E3B"/>
    <w:pPr>
      <w:ind w:left="720"/>
      <w:contextualSpacing/>
    </w:pPr>
  </w:style>
  <w:style w:type="paragraph" w:customStyle="1" w:styleId="Default">
    <w:name w:val="Default"/>
    <w:rsid w:val="000F56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Каракулова Ольга Александровна</dc:creator>
  <cp:lastModifiedBy>Асочаков Валерий Сергеевич</cp:lastModifiedBy>
  <cp:revision>4</cp:revision>
  <dcterms:created xsi:type="dcterms:W3CDTF">2021-04-14T03:46:00Z</dcterms:created>
  <dcterms:modified xsi:type="dcterms:W3CDTF">2021-06-17T06:49:00Z</dcterms:modified>
</cp:coreProperties>
</file>