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49" w:rsidRPr="006F1BF7" w:rsidRDefault="003F5049" w:rsidP="003F5049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Прокуратурой республики проведен анализ реализации полномочий в арбитражном судопроизводстве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bookmarkStart w:id="0" w:name="_GoBack"/>
      <w:bookmarkEnd w:id="0"/>
      <w:r w:rsidRPr="006F1BF7">
        <w:rPr>
          <w:rFonts w:cs="Times New Roman"/>
          <w:color w:val="333333"/>
          <w:sz w:val="22"/>
          <w:szCs w:val="22"/>
        </w:rPr>
        <w:t>Прокуратурой республики в 1 полугодии 2022 г. в Арбитражный суд Республики Хакасия направлено 25 исков (заявлений), из рассмотренных 18 исков - удовлетворено 16 исков (заявлений).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Обращение в арбитражный суд применялось в целях реального восстановления нарушенных прав и законных интересов государства в экономической сфере, субъектов предпринимательской деятельности, оценивались возможные негативные последствия исполнения требований прокурора. Основанием для предъявления исковых заявлений являлись выявленные в ходе прокурорских проверок нарушения законодательства о размещении заказов для государственных и муниципальных нужд, распоряжении и использовании земель, относящихся к государственной и муниципальной собственности, об осуществлении водо- и теплоснабжения, оказании муниципальных услуг в сфере налогообложения.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Так, в соответствии с новыми полномочиями прокурора по обращению в арбитражный суд, предоставленными абзацем 8 части 1 статьи 52 Арбитражного процессуального кодекса Российской Федерации, в арбитражный суд предъявлен иск о взыскании с ООО «Специализированный застройщик «Тасхыл» в казну Республики Хакасия 1 942 тыс. рублей ущерба, причиненного в результате нарушения законодательства о контрактной системе в сфере закупок. Решением Арбитражного суда Республики Хакасия иск прокурора удовлетворен, решение вступило в законную силу, исполнительный лист направлен на исполнение.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Суд согласился с доводами прокурора о том, что в нарушение требований Бюджетного кодекса РФ, Гражданского кодекса РФ,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ответчиком получены денежные средства за невыполненные по муниципальному контракту работы по капитальному ремонту здания, заключенному с МБОУ «Новотроицкая основная общеобразовательная школа», что повлекло причинение ущерба бюджету Республики Хакасия.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целях пресечения практики необоснованного продления сроков исполнения муниципальных контрактов в арбитражный суд направлено 2 иска о признании недействительными в силу ничтожности соглашений о продлении сроков поставки и монтажа модульного здания фельдшерского пункта сборно-разборного типа в с. Ефремкино Ширинского района, поставки интерактивной трибуны и сенсорного стола для МБУК «Единая сеть библиотек» (г. Сорск). Исковые требования мотивированы несоответствием заключенных соглашений требованиям Федерального закона № 44-ФЗ, отсутствием независящих от сторон контрактов обстоятельств, влекущих невозможность его исполнения в установленные сроки.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связи с выявлением в контрактах на выполнение строительных работ условий, сокращающих установленный ст. 756 Гражданского кодекса РФ пятилетний срок обнаружения недостатков выполненных работ, в арбитражный суд направлен иск о признании недействительным в силу ничтожности условия муниципального контракта на выполнение работ по капитальному ремонту спортзала МБОУ «Средняя общеобразовательная школа в п. Аскиз», незаконно устанавливающего трехгодичный гарантийный срок на выполненные работы.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Оспорены условия договоров водо- и теплоснабжения, заключенные ресурсоснабжающими организациями с органами местного самоуправления, медицинскими и образовательными учреждениям, устанавливающие ответственность абонентов за несвоевременное выполнение обязательств по оплате за потребленные ресурсы в большем размере, чем предусмотрено требованиями Федерального закона от 07.12.2011 № 416-ФЗ «О водоснабжении и водоотведении» и Федерального закона от 07.12.2011 № 190-ФЗ «О теплоснабжении», а также условия, предусматривающие незаконный порядок прекращения теплоснабжения образовательным учреждениям. В арбитражный суд направлено 12 исков о признании названных условий недействительными в силу ничтожности (находятся в производстве суда).</w:t>
      </w:r>
    </w:p>
    <w:p w:rsidR="003F5049" w:rsidRPr="003F5049" w:rsidRDefault="003F5049">
      <w:pPr>
        <w:rPr>
          <w:lang/>
        </w:rPr>
      </w:pPr>
    </w:p>
    <w:sectPr w:rsidR="003F5049" w:rsidRPr="003F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49"/>
    <w:rsid w:val="003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BA3A-5105-4866-B5C6-FC1CC1F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504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Standard">
    <w:name w:val="Standard"/>
    <w:rsid w:val="003F50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2022-12-26T13:23:00Z</dcterms:created>
  <dcterms:modified xsi:type="dcterms:W3CDTF">2022-12-26T13:24:00Z</dcterms:modified>
</cp:coreProperties>
</file>